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5F" w:rsidRPr="005F538E" w:rsidRDefault="00920A5F" w:rsidP="00920A5F">
      <w:pPr>
        <w:widowControl/>
        <w:spacing w:line="360" w:lineRule="auto"/>
        <w:jc w:val="center"/>
        <w:rPr>
          <w:rFonts w:ascii="黑体" w:eastAsia="黑体" w:hAnsi="黑体" w:cs="仿宋" w:hint="eastAsia"/>
          <w:color w:val="000000"/>
          <w:kern w:val="0"/>
          <w:sz w:val="36"/>
          <w:szCs w:val="36"/>
        </w:rPr>
      </w:pPr>
      <w:r w:rsidRPr="005F538E">
        <w:rPr>
          <w:rFonts w:ascii="黑体" w:eastAsia="黑体" w:hAnsi="黑体" w:cs="仿宋" w:hint="eastAsia"/>
          <w:color w:val="000000"/>
          <w:kern w:val="0"/>
          <w:sz w:val="36"/>
          <w:szCs w:val="36"/>
        </w:rPr>
        <w:t>教育部 财政部 国家发展改革委</w:t>
      </w:r>
    </w:p>
    <w:p w:rsidR="00920A5F" w:rsidRPr="005F538E" w:rsidRDefault="00920A5F" w:rsidP="00920A5F">
      <w:pPr>
        <w:adjustRightInd w:val="0"/>
        <w:snapToGrid w:val="0"/>
        <w:spacing w:line="360" w:lineRule="auto"/>
        <w:jc w:val="center"/>
        <w:rPr>
          <w:rFonts w:ascii="黑体" w:eastAsia="黑体" w:hAnsi="黑体" w:cs="仿宋"/>
          <w:color w:val="000000"/>
          <w:kern w:val="0"/>
          <w:sz w:val="36"/>
          <w:szCs w:val="36"/>
        </w:rPr>
      </w:pPr>
      <w:r w:rsidRPr="005F538E">
        <w:rPr>
          <w:rFonts w:ascii="黑体" w:eastAsia="黑体" w:hAnsi="黑体" w:cs="仿宋" w:hint="eastAsia"/>
          <w:color w:val="000000"/>
          <w:kern w:val="0"/>
          <w:sz w:val="36"/>
          <w:szCs w:val="36"/>
        </w:rPr>
        <w:t>关于印发《统筹推进世界一流大学和一流学科建设实施办法（暂行）》的通知</w:t>
      </w:r>
    </w:p>
    <w:p w:rsidR="00920A5F" w:rsidRPr="005F538E" w:rsidRDefault="00920A5F" w:rsidP="00920A5F">
      <w:pPr>
        <w:adjustRightInd w:val="0"/>
        <w:snapToGrid w:val="0"/>
        <w:spacing w:line="360" w:lineRule="auto"/>
        <w:jc w:val="center"/>
        <w:rPr>
          <w:rFonts w:ascii="宋体" w:cs="仿宋" w:hint="eastAsia"/>
          <w:color w:val="000000"/>
          <w:kern w:val="0"/>
          <w:sz w:val="24"/>
          <w:szCs w:val="24"/>
        </w:rPr>
      </w:pPr>
      <w:r w:rsidRPr="005F538E">
        <w:rPr>
          <w:rFonts w:ascii="宋体" w:cs="仿宋" w:hint="eastAsia"/>
          <w:color w:val="000000"/>
          <w:kern w:val="0"/>
          <w:sz w:val="24"/>
          <w:szCs w:val="24"/>
        </w:rPr>
        <w:t>教研</w:t>
      </w:r>
      <w:r>
        <w:rPr>
          <w:rFonts w:ascii="宋体" w:cs="仿宋" w:hint="eastAsia"/>
          <w:color w:val="000000"/>
          <w:kern w:val="0"/>
          <w:sz w:val="24"/>
          <w:szCs w:val="24"/>
        </w:rPr>
        <w:t>〔</w:t>
      </w:r>
      <w:r w:rsidRPr="005F538E">
        <w:rPr>
          <w:rFonts w:ascii="宋体" w:cs="仿宋" w:hint="eastAsia"/>
          <w:color w:val="000000"/>
          <w:kern w:val="0"/>
          <w:sz w:val="24"/>
          <w:szCs w:val="24"/>
        </w:rPr>
        <w:t>2017</w:t>
      </w:r>
      <w:r>
        <w:rPr>
          <w:rFonts w:ascii="宋体" w:cs="仿宋" w:hint="eastAsia"/>
          <w:color w:val="000000"/>
          <w:kern w:val="0"/>
          <w:sz w:val="24"/>
          <w:szCs w:val="24"/>
        </w:rPr>
        <w:t>〕</w:t>
      </w:r>
      <w:r w:rsidRPr="005F538E">
        <w:rPr>
          <w:rFonts w:ascii="宋体" w:cs="仿宋" w:hint="eastAsia"/>
          <w:color w:val="000000"/>
          <w:kern w:val="0"/>
          <w:sz w:val="24"/>
          <w:szCs w:val="24"/>
        </w:rPr>
        <w:t>2号</w:t>
      </w:r>
    </w:p>
    <w:p w:rsidR="00920A5F" w:rsidRDefault="00920A5F" w:rsidP="00920A5F">
      <w:pPr>
        <w:adjustRightInd w:val="0"/>
        <w:snapToGrid w:val="0"/>
        <w:spacing w:line="360" w:lineRule="auto"/>
        <w:rPr>
          <w:rFonts w:ascii="宋体" w:cs="仿宋" w:hint="eastAsia"/>
          <w:color w:val="000000"/>
          <w:kern w:val="0"/>
          <w:sz w:val="24"/>
          <w:szCs w:val="24"/>
        </w:rPr>
      </w:pP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各省、自治区、直辖市人民政府，国务院各部委、各直属机构：</w:t>
      </w:r>
    </w:p>
    <w:p w:rsidR="00920A5F" w:rsidRDefault="00920A5F" w:rsidP="00920A5F">
      <w:pPr>
        <w:adjustRightInd w:val="0"/>
        <w:snapToGrid w:val="0"/>
        <w:spacing w:line="360" w:lineRule="auto"/>
        <w:ind w:firstLine="480"/>
        <w:rPr>
          <w:rFonts w:ascii="宋体" w:cs="仿宋" w:hint="eastAsia"/>
          <w:color w:val="000000"/>
          <w:kern w:val="0"/>
          <w:sz w:val="24"/>
          <w:szCs w:val="24"/>
        </w:rPr>
      </w:pPr>
      <w:r w:rsidRPr="005F538E">
        <w:rPr>
          <w:rFonts w:ascii="宋体" w:cs="仿宋" w:hint="eastAsia"/>
          <w:color w:val="000000"/>
          <w:kern w:val="0"/>
          <w:sz w:val="24"/>
          <w:szCs w:val="24"/>
        </w:rPr>
        <w:t>为贯彻落实党中央、国务院关于建设世界一流大学和一流学科的重大战略决策，根据国务院《统筹推进世界一流大学和一流学科建设总体方案》，教育部、财政部、国家发展改革委制定了《统筹推进世界一流大学和一流学科建设实施办法（暂行）》，经国务院同意，现予以印发。</w:t>
      </w:r>
    </w:p>
    <w:p w:rsidR="00920A5F" w:rsidRPr="005F538E" w:rsidRDefault="00920A5F" w:rsidP="00920A5F">
      <w:pPr>
        <w:adjustRightInd w:val="0"/>
        <w:snapToGrid w:val="0"/>
        <w:spacing w:line="360" w:lineRule="auto"/>
        <w:ind w:firstLine="480"/>
        <w:jc w:val="right"/>
        <w:rPr>
          <w:rFonts w:ascii="宋体" w:cs="仿宋" w:hint="eastAsia"/>
          <w:color w:val="000000"/>
          <w:kern w:val="0"/>
          <w:sz w:val="24"/>
          <w:szCs w:val="24"/>
        </w:rPr>
      </w:pPr>
      <w:r w:rsidRPr="005F538E">
        <w:rPr>
          <w:rFonts w:ascii="宋体" w:cs="仿宋" w:hint="eastAsia"/>
          <w:color w:val="000000"/>
          <w:kern w:val="0"/>
          <w:sz w:val="24"/>
          <w:szCs w:val="24"/>
        </w:rPr>
        <w:t>教育部 财政部 国家发展改革委</w:t>
      </w:r>
    </w:p>
    <w:p w:rsidR="00920A5F" w:rsidRPr="005F538E" w:rsidRDefault="00920A5F" w:rsidP="00920A5F">
      <w:pPr>
        <w:adjustRightInd w:val="0"/>
        <w:snapToGrid w:val="0"/>
        <w:spacing w:line="360" w:lineRule="auto"/>
        <w:jc w:val="right"/>
        <w:rPr>
          <w:rFonts w:ascii="宋体" w:cs="仿宋" w:hint="eastAsia"/>
          <w:color w:val="000000"/>
          <w:kern w:val="0"/>
          <w:sz w:val="24"/>
          <w:szCs w:val="24"/>
        </w:rPr>
      </w:pPr>
      <w:r w:rsidRPr="005F538E">
        <w:rPr>
          <w:rFonts w:ascii="宋体" w:cs="仿宋" w:hint="eastAsia"/>
          <w:color w:val="000000"/>
          <w:kern w:val="0"/>
          <w:sz w:val="24"/>
          <w:szCs w:val="24"/>
        </w:rPr>
        <w:t xml:space="preserve">　　2017年1月24日</w:t>
      </w:r>
    </w:p>
    <w:p w:rsidR="00920A5F" w:rsidRDefault="00920A5F" w:rsidP="00920A5F">
      <w:pPr>
        <w:adjustRightInd w:val="0"/>
        <w:snapToGrid w:val="0"/>
        <w:spacing w:line="360" w:lineRule="auto"/>
        <w:rPr>
          <w:rFonts w:ascii="宋体" w:cs="仿宋" w:hint="eastAsia"/>
          <w:color w:val="000000"/>
          <w:kern w:val="0"/>
          <w:sz w:val="24"/>
          <w:szCs w:val="24"/>
        </w:rPr>
      </w:pPr>
    </w:p>
    <w:p w:rsidR="00920A5F" w:rsidRDefault="00920A5F" w:rsidP="00920A5F">
      <w:pPr>
        <w:adjustRightInd w:val="0"/>
        <w:snapToGrid w:val="0"/>
        <w:spacing w:line="360" w:lineRule="auto"/>
        <w:rPr>
          <w:rFonts w:ascii="宋体" w:cs="仿宋" w:hint="eastAsia"/>
          <w:color w:val="000000"/>
          <w:kern w:val="0"/>
          <w:sz w:val="24"/>
          <w:szCs w:val="24"/>
        </w:rPr>
      </w:pP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36"/>
          <w:szCs w:val="36"/>
        </w:rPr>
      </w:pPr>
      <w:r w:rsidRPr="005F538E">
        <w:rPr>
          <w:rFonts w:ascii="黑体" w:eastAsia="黑体" w:hAnsi="黑体" w:cs="仿宋" w:hint="eastAsia"/>
          <w:color w:val="000000"/>
          <w:kern w:val="0"/>
          <w:sz w:val="36"/>
          <w:szCs w:val="36"/>
        </w:rPr>
        <w:t>统筹推进世界一流大学和一流学科建设实施办法（暂行）</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t>第一章 总则</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第一条</w:t>
      </w:r>
      <w:r w:rsidRPr="005F538E">
        <w:rPr>
          <w:rFonts w:ascii="宋体" w:cs="仿宋" w:hint="eastAsia"/>
          <w:color w:val="000000"/>
          <w:kern w:val="0"/>
          <w:sz w:val="24"/>
          <w:szCs w:val="24"/>
        </w:rPr>
        <w:t xml:space="preserve"> 为贯彻落实党中央、国务院关于建设世界一流大学和一流学科的重大战略决策部署，根据《统筹推进世界一流大学和一流学科建设总体方案》（国发〔2015〕64号，以下简称《总体方案》），制定本办法。</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全面贯彻党的教育方针，坚持社会主义办学方向，按照“四个全面”战略布局和创新、协调、绿色、开放、共享发展理念，以中国特色、世界一流为核心，落实立德树人根本任务，以一流为目标、以学科为基础、以绩效为杠杆、以改革为动力，推动一批高水平大学和学科进入世界一流行列或前列，为实现“两个一百年”奋斗目标、实现中华民族伟大复兴的中国梦提供有力支撑。</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5F538E">
        <w:rPr>
          <w:rFonts w:ascii="黑体" w:eastAsia="黑体" w:hAnsi="黑体" w:cs="仿宋" w:hint="eastAsia"/>
          <w:color w:val="000000"/>
          <w:kern w:val="0"/>
          <w:sz w:val="24"/>
          <w:szCs w:val="24"/>
        </w:rPr>
        <w:t xml:space="preserve">　</w:t>
      </w:r>
      <w:r w:rsidRPr="00CC1852">
        <w:rPr>
          <w:rFonts w:ascii="黑体" w:eastAsia="黑体" w:hAnsi="黑体" w:cs="仿宋" w:hint="eastAsia"/>
          <w:color w:val="000000"/>
          <w:kern w:val="0"/>
          <w:sz w:val="24"/>
          <w:szCs w:val="24"/>
        </w:rPr>
        <w:t>第三条</w:t>
      </w:r>
      <w:r w:rsidRPr="005F538E">
        <w:rPr>
          <w:rFonts w:ascii="宋体" w:cs="仿宋" w:hint="eastAsia"/>
          <w:color w:val="000000"/>
          <w:kern w:val="0"/>
          <w:sz w:val="24"/>
          <w:szCs w:val="24"/>
        </w:rPr>
        <w:t xml:space="preserve"> 面向国家重大战略需求，面向经济社会主战场，面向世界科技发展前沿，突出建设的质量效益、社会贡献度和国际影响力，突出学科交叉融合和协</w:t>
      </w:r>
      <w:r w:rsidRPr="005F538E">
        <w:rPr>
          <w:rFonts w:ascii="宋体" w:cs="仿宋" w:hint="eastAsia"/>
          <w:color w:val="000000"/>
          <w:kern w:val="0"/>
          <w:sz w:val="24"/>
          <w:szCs w:val="24"/>
        </w:rPr>
        <w:lastRenderedPageBreak/>
        <w:t>同创新，突出与产业发展、社会需求、科技前沿紧密衔接，深化产教融合，全面提升我国高等教育在人才培养、科学研究、社会服务、文化传承创新和国际交流合作中的综合实力。</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到2020年，若干所大学和一批学科进入世界一流行列，若干学科进入世界一流学科前列；到2030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第四条</w:t>
      </w:r>
      <w:r w:rsidRPr="005F538E">
        <w:rPr>
          <w:rFonts w:ascii="宋体" w:cs="仿宋" w:hint="eastAsia"/>
          <w:color w:val="000000"/>
          <w:kern w:val="0"/>
          <w:sz w:val="24"/>
          <w:szCs w:val="24"/>
        </w:rPr>
        <w:t xml:space="preserve"> 加强总体规划，坚持扶优扶需扶特扶新，按照“一流大学”和“一流学科”两类布局建设高校，引导和支持具备较强实力的高校合理定位、办出特色、差别化发展，努力形成支撑国家长远发展的一流大学和一流学科体系。</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第五条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坚持以学科为基础，支持建设一百个左右学科，着力打造学科领域高峰。支持一批接近或达到世界先进水平的学科，加强建设关系国家安全和重大利益的学科，鼓励新兴学科、交叉学科，布局一批国家急需、支撑产业转型升级和区域发展的学科，积极建设具有中国特色、中国风格、中国气派的哲学社会科学体系，着力解决经济社会中的重大战略问题，提升国家自主创新能力和核心竞争力。强化学科建设绩效考核，引领高校提高办学水平和综合实力。</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第六条</w:t>
      </w:r>
      <w:r w:rsidRPr="005F538E">
        <w:rPr>
          <w:rFonts w:ascii="宋体" w:cs="仿宋" w:hint="eastAsia"/>
          <w:color w:val="000000"/>
          <w:kern w:val="0"/>
          <w:sz w:val="24"/>
          <w:szCs w:val="24"/>
        </w:rPr>
        <w:t xml:space="preserve"> 每五年一个建设周期，2016年开始新一轮建设。建设高校实行总量控制、开放竞争、动态调整。</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t>第二章 遴选条件</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第七条</w:t>
      </w:r>
      <w:r w:rsidRPr="005F538E">
        <w:rPr>
          <w:rFonts w:ascii="宋体" w:cs="仿宋" w:hint="eastAsia"/>
          <w:color w:val="000000"/>
          <w:kern w:val="0"/>
          <w:sz w:val="24"/>
          <w:szCs w:val="24"/>
        </w:rPr>
        <w:t xml:space="preserve"> 一流大学建设高校应是经过长期重点建设、具有先进办学理念、办学实力强、社会认可度较高的高校，须拥有一定数量国内领先、国际前列的高水平学科，在改革创新和现代大学制度建设中成效显著。</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一流学科建设高校应具有居于国内前列或国际前沿的高水平学科，学科水平在有影响力的第三方评价中进入前列，或者国家急需、具有重大的行业或区域影响、学科优势突出、具有不可替代性。</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人才培养方面，坚持立德树人，培育和践行社会主义核心价值观，在拔尖创新人才培养模式、协同育人机制、创新创业教育方面成果显著；积极推进课程体系和教学内容改革，教学成果丰硕；资源配置、政策导向体现人才培养的核心地位；质量保障体系完善，有高质量的本科生教育和研究生教育；注重培养学生社</w:t>
      </w:r>
      <w:r w:rsidRPr="005F538E">
        <w:rPr>
          <w:rFonts w:ascii="宋体" w:cs="仿宋" w:hint="eastAsia"/>
          <w:color w:val="000000"/>
          <w:kern w:val="0"/>
          <w:sz w:val="24"/>
          <w:szCs w:val="24"/>
        </w:rPr>
        <w:lastRenderedPageBreak/>
        <w:t>会责任感、法治意识、创新精神和实践能力，人才培养质量得到社会高度认可。</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科学研究方面，科研组织和科研机制健全，协同创新成效显著。基础研究处于科学前沿，原始创新能力较强，形成具有重要影响的新知识新理论；应用研究解决了国民经济中的重大关键性技术和工程问题，或实现了重大颠覆性技术创新；哲学社会科学研究为解决经济社会发展重大理论和现实问题提供了有效支撑。</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社会服务方面，产学研深度融合，实现合作办学、合作育人、合作发展，科研成果转化绩效突出，形成具有中国特色和世界影响的新型高端智库，为国家和区域经济转型、产业升级和技术变革、服务国家安全和社会公共安全做出突出贡献，运用新知识新理论认识世界、传承文明、科学普及、资政育人和服务社会成效显著。</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文化传承创新方面，传承弘扬中华优秀传统文化，推动社会主义先进文化建设成效显著；增强文化自信，具有较强的国际文化传播影响力；具有师生认同的优秀教风学风校风，具有广阔的文化视野和强大的文化创新能力，形成引领社会进步、特色鲜明的大学精神和大学文化。</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师资队伍建设方面，教师队伍政治素质强，整体水平高，潜心教书育人，师德师风优良；一线教师普遍掌握先进的教学方法和技术，教学经验丰富，教学效果良好；有一批活跃在国际学术前沿的一流专家、学科领军人物和创新团队；教师结构合理，中青年教师成长环境良好，可持续发展后劲足。</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国际交流合作方面，吸引海外优质师资、科研团队和学生能力强，与世界高水平大学学生交换、学分互认、联合培养成效显著，与世界高水平大学和学术机构有深度的学术交流与科研合作，深度参与国际或区域性重大科学计划、科学工程，参加国际标准和规则的制定，国际影响力较强。</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t>第三章 遴选程序</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第八条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坚持公平公正、开放竞争。采取认定方式确定一流大学、一流学科建设高校及建设学科。</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5F538E">
        <w:rPr>
          <w:rFonts w:ascii="黑体" w:eastAsia="黑体" w:hAnsi="黑体" w:cs="仿宋" w:hint="eastAsia"/>
          <w:color w:val="000000"/>
          <w:kern w:val="0"/>
          <w:sz w:val="24"/>
          <w:szCs w:val="24"/>
        </w:rPr>
        <w:t xml:space="preserve">　</w:t>
      </w:r>
      <w:r w:rsidRPr="00CC1852">
        <w:rPr>
          <w:rFonts w:ascii="黑体" w:eastAsia="黑体" w:hAnsi="黑体" w:cs="仿宋" w:hint="eastAsia"/>
          <w:color w:val="000000"/>
          <w:kern w:val="0"/>
          <w:sz w:val="24"/>
          <w:szCs w:val="24"/>
        </w:rPr>
        <w:t>第九条</w:t>
      </w:r>
      <w:r w:rsidRPr="005F538E">
        <w:rPr>
          <w:rFonts w:ascii="宋体" w:cs="仿宋" w:hint="eastAsia"/>
          <w:color w:val="000000"/>
          <w:kern w:val="0"/>
          <w:sz w:val="24"/>
          <w:szCs w:val="24"/>
        </w:rPr>
        <w:t xml:space="preserve"> 设立世界一流大学和一流学科建设专家委员会，由政府有关部门、高校、科研机构、行业组织人员组成。专家委员会根据《总体方案》要求和本办法，以中国特色学科评价为主要依据，参考国际相关评价因素，综合高校办学条件、学科水平、办学质量、主要贡献、国际影响力等情况，以及高校主管部门意见，论证确定一流大学和一流学科建设高校的认定标准。</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lastRenderedPageBreak/>
        <w:t xml:space="preserve">　　</w:t>
      </w:r>
      <w:r w:rsidRPr="00CC1852">
        <w:rPr>
          <w:rFonts w:ascii="黑体" w:eastAsia="黑体" w:hAnsi="黑体" w:cs="仿宋" w:hint="eastAsia"/>
          <w:color w:val="000000"/>
          <w:kern w:val="0"/>
          <w:sz w:val="24"/>
          <w:szCs w:val="24"/>
        </w:rPr>
        <w:t>第十条</w:t>
      </w:r>
      <w:r w:rsidRPr="005F538E">
        <w:rPr>
          <w:rFonts w:ascii="宋体" w:cs="仿宋" w:hint="eastAsia"/>
          <w:color w:val="000000"/>
          <w:kern w:val="0"/>
          <w:sz w:val="24"/>
          <w:szCs w:val="24"/>
        </w:rPr>
        <w:t xml:space="preserve"> 根据认定标准专家委员会遴选产生拟建设高校名单，并提出意见建议。教育部、财政部、发展改革委审议确定建议名单。</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第十一条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列入拟建设名单的高校要根据自身实际，以改革为动力，结合学校综合改革方案和专家委员会咨询建议，确定建设思路，合理选择建设路径，自主确定学科建设口径和范围，科学编制整体建设方案、分学科建设方案（以下统称建设方案）。建设方案要以人才培养为核心，优化学科建设结构和布局，完善内部治理结构，形成调动各方积极参与的长效建设机制，以一流学科建设引领健全学科生态体系，带动学校整体发展。以5年为一周期，统筹安排建设和改革任务，综合考虑各渠道资金和相应的管理要求，设定合理、具体的分阶段建设目标和建设内容，细化具体的执行项目，提出系统的考核指标体系，避免平均用力或碎片化。高校须组织相关专家，结合经济社会发展需求和国家战略需要，对建设方案的科学性、可行性进行深入论证。</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第十二条</w:t>
      </w:r>
      <w:r w:rsidRPr="005F538E">
        <w:rPr>
          <w:rFonts w:ascii="宋体" w:cs="仿宋" w:hint="eastAsia"/>
          <w:color w:val="000000"/>
          <w:kern w:val="0"/>
          <w:sz w:val="24"/>
          <w:szCs w:val="24"/>
        </w:rPr>
        <w:t xml:space="preserve"> 论证通过的建设方案及专家论证报告，经高校报所属省级人民政府或主管部门审核通过后，报教育部、财政部、发展改革委。</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第十三条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专家委员会对高校建设方案进行审核，提出意见。</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第十四条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教育部、财政部、发展改革委根据专家委员会意见，研究确定一流大学、一流学科建设高校及建设学科，报国务院批准。</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t>第四章 支持方式</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黑体" w:eastAsia="黑体" w:hAnsi="黑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第十五条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创新支持方式，强化精准支持，综合考虑建设高校基础、学科类别及发展水平等，给予相应支持。</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第十六条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中央高校开展世界一流大学和一流学科建设所需经费由中央财政支持；中央预算内投资对中央高校学科建设相关基础设施给予支持。纳入世界一流大学和一流学科建设范围的地方高校，所需资金由地方财政统筹安排，中央财政予以引导支持。</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有关部门深化高等教育领域简政放权改革，放管结合优化服务，在考试招生、人事制度、经费管理、学位授权、科研评价等方面切实落实建设高校自主权。</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第十七条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地方政府和有关主管部门应通过多种方式，对世界一流大学和一流学科建设加大资金、政策、资源支持力度。建设高校要积极争取社会各方资源，形成多元支持的长效机制。</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第十八条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建设高校完善经费使用管理方式，切实管好用好，提高使用效益。</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lastRenderedPageBreak/>
        <w:t>第五章 动态管理</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第十九条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加强过程管理，实施动态监测，及时跟踪指导。以学科为基础，制定科学合理的绩效评价办法，开展中期和期末评价，加大经费动态支持力度，形成激励约束机制，增强建设实效。</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5F538E">
        <w:rPr>
          <w:rFonts w:ascii="黑体" w:eastAsia="黑体" w:hAnsi="黑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建设中期，建设高校根据建设方案对建设情况进行自评，对改革的实施情况、建设目标和任务完成情况、学科水平、资金管理使用情况等进行分析，发布自评报告。专家委员会根据建设高校的建设方案和自评报告，参考有影响力的第三方评价，对建设成效进行评价，提出中期评价意见。根据中期评价结果，对实施有力、进展良好、成效明显的建设高校及建设学科，加大支持力度；对实施不力、进展缓慢、缺乏实效的建设高校及建设学科，提出警示并减小支持力度。</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第二十一条</w:t>
      </w:r>
      <w:r w:rsidRPr="005F538E">
        <w:rPr>
          <w:rFonts w:ascii="宋体" w:cs="仿宋" w:hint="eastAsia"/>
          <w:color w:val="000000"/>
          <w:kern w:val="0"/>
          <w:sz w:val="24"/>
          <w:szCs w:val="24"/>
        </w:rPr>
        <w:t xml:space="preserve"> 打破身份固化，建立建设高校及建设学科有进有出动态调整机制。建设过程中，对于出现重大问题、不再具备建设条件且经警示整改仍无改善的高校及建设学科，调整出建设范围。</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第二十二条</w:t>
      </w:r>
      <w:r w:rsidRPr="005F538E">
        <w:rPr>
          <w:rFonts w:ascii="宋体" w:cs="仿宋" w:hint="eastAsia"/>
          <w:color w:val="000000"/>
          <w:kern w:val="0"/>
          <w:sz w:val="24"/>
          <w:szCs w:val="24"/>
        </w:rPr>
        <w:t xml:space="preserve"> 建设期末，建设高校根据建设方案对建设情况进行整体自评，对改革的实施情况、建设目标和任务完成情况、学科水平、资金管理使用情况等进行全面分析，发布整体自评报告。专家委员会根据建设高校的建设方案及整体自评报告，参考有影响力的第三方评价，对建设成效进行评价，提出评价意见。根据期末评价结果等情况，重新确定下一轮建设范围。对于建设成效特别突出、国际影响力特别显著的少数建设高校及建设学科，在资金和政策上加大支持力度。</w:t>
      </w:r>
    </w:p>
    <w:p w:rsidR="00920A5F" w:rsidRPr="005F538E" w:rsidRDefault="00920A5F" w:rsidP="00920A5F">
      <w:pPr>
        <w:adjustRightInd w:val="0"/>
        <w:snapToGrid w:val="0"/>
        <w:spacing w:line="360" w:lineRule="auto"/>
        <w:jc w:val="center"/>
        <w:rPr>
          <w:rFonts w:ascii="黑体" w:eastAsia="黑体" w:hAnsi="黑体" w:cs="仿宋" w:hint="eastAsia"/>
          <w:color w:val="000000"/>
          <w:kern w:val="0"/>
          <w:sz w:val="24"/>
          <w:szCs w:val="24"/>
        </w:rPr>
      </w:pPr>
      <w:r w:rsidRPr="005F538E">
        <w:rPr>
          <w:rFonts w:ascii="黑体" w:eastAsia="黑体" w:hAnsi="黑体" w:cs="仿宋" w:hint="eastAsia"/>
          <w:color w:val="000000"/>
          <w:kern w:val="0"/>
          <w:sz w:val="24"/>
          <w:szCs w:val="24"/>
        </w:rPr>
        <w:t>第六章 组织实施</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第二十三条</w:t>
      </w:r>
      <w:r w:rsidRPr="005F538E">
        <w:rPr>
          <w:rFonts w:ascii="宋体" w:cs="仿宋" w:hint="eastAsia"/>
          <w:color w:val="000000"/>
          <w:kern w:val="0"/>
          <w:sz w:val="24"/>
          <w:szCs w:val="24"/>
        </w:rPr>
        <w:t xml:space="preserve"> 教育部、财政部、发展改革委建立部际协调机制，负责规划部署、推进实施、监督管理等工作。</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第二十四条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省级政府应结合经济社会发展需求和基础条件，统筹推动区域内有特色高水平大学和优势学科建设，积极探索不同类型高校的一流建设之路。</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第二十五条</w:t>
      </w:r>
      <w:r w:rsidRPr="005F538E">
        <w:rPr>
          <w:rFonts w:ascii="宋体" w:cs="仿宋" w:hint="eastAsia"/>
          <w:color w:val="000000"/>
          <w:kern w:val="0"/>
          <w:sz w:val="24"/>
          <w:szCs w:val="24"/>
        </w:rPr>
        <w:t xml:space="preserve"> 建设高校要全面加强党的领导和党的建设，坚持正确办学方向，深化综合改革，破除体制机制障碍，统筹学校整体建设和学科建设，加强组织保障，营造良好建设环境。</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第二十六条</w:t>
      </w:r>
      <w:r w:rsidRPr="005F538E">
        <w:rPr>
          <w:rFonts w:ascii="黑体" w:eastAsia="黑体" w:hAnsi="黑体" w:cs="仿宋" w:hint="eastAsia"/>
          <w:color w:val="000000"/>
          <w:kern w:val="0"/>
          <w:sz w:val="24"/>
          <w:szCs w:val="24"/>
        </w:rPr>
        <w:t xml:space="preserve"> </w:t>
      </w:r>
      <w:r w:rsidRPr="005F538E">
        <w:rPr>
          <w:rFonts w:ascii="宋体" w:cs="仿宋" w:hint="eastAsia"/>
          <w:color w:val="000000"/>
          <w:kern w:val="0"/>
          <w:sz w:val="24"/>
          <w:szCs w:val="24"/>
        </w:rPr>
        <w:t>动员各方力量积极参与世界一流大学和一流学科建设，鼓励行业企业加强与高校合作，协同建设。省级政府、行业主管部门加大对建设高校的</w:t>
      </w:r>
      <w:r w:rsidRPr="005F538E">
        <w:rPr>
          <w:rFonts w:ascii="宋体" w:cs="仿宋" w:hint="eastAsia"/>
          <w:color w:val="000000"/>
          <w:kern w:val="0"/>
          <w:sz w:val="24"/>
          <w:szCs w:val="24"/>
        </w:rPr>
        <w:lastRenderedPageBreak/>
        <w:t>投入，强化跟踪指导，及时发现建设中存在的问题，提出改进的意见和建议。</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第二十七条</w:t>
      </w:r>
      <w:r w:rsidRPr="005F538E">
        <w:rPr>
          <w:rFonts w:ascii="宋体" w:cs="仿宋" w:hint="eastAsia"/>
          <w:color w:val="000000"/>
          <w:kern w:val="0"/>
          <w:sz w:val="24"/>
          <w:szCs w:val="24"/>
        </w:rPr>
        <w:t xml:space="preserve"> 坚持公开透明，建立信息公开网络平台，公布建设高校的建设方案及建设学科、绩效评价情况等，强化社会监督。</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第七章 附则</w:t>
      </w:r>
    </w:p>
    <w:p w:rsidR="00920A5F" w:rsidRPr="005F538E" w:rsidRDefault="00920A5F" w:rsidP="00920A5F">
      <w:pPr>
        <w:adjustRightInd w:val="0"/>
        <w:snapToGrid w:val="0"/>
        <w:spacing w:line="360" w:lineRule="auto"/>
        <w:rPr>
          <w:rFonts w:ascii="宋体" w:cs="仿宋"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第二十八条</w:t>
      </w:r>
      <w:r w:rsidRPr="005F538E">
        <w:rPr>
          <w:rFonts w:ascii="宋体" w:cs="仿宋" w:hint="eastAsia"/>
          <w:color w:val="000000"/>
          <w:kern w:val="0"/>
          <w:sz w:val="24"/>
          <w:szCs w:val="24"/>
        </w:rPr>
        <w:t xml:space="preserve"> 本办法由教育部、财政部、发展改革委负责解释。</w:t>
      </w:r>
    </w:p>
    <w:p w:rsidR="00920A5F" w:rsidRPr="005F538E" w:rsidRDefault="00920A5F" w:rsidP="00920A5F">
      <w:pPr>
        <w:adjustRightInd w:val="0"/>
        <w:snapToGrid w:val="0"/>
        <w:spacing w:line="360" w:lineRule="auto"/>
        <w:rPr>
          <w:rFonts w:ascii="宋体" w:cs="Times New Roman" w:hint="eastAsia"/>
          <w:color w:val="000000"/>
          <w:kern w:val="0"/>
          <w:sz w:val="24"/>
          <w:szCs w:val="24"/>
        </w:rPr>
      </w:pPr>
      <w:r w:rsidRPr="005F538E">
        <w:rPr>
          <w:rFonts w:ascii="宋体" w:cs="仿宋" w:hint="eastAsia"/>
          <w:color w:val="000000"/>
          <w:kern w:val="0"/>
          <w:sz w:val="24"/>
          <w:szCs w:val="24"/>
        </w:rPr>
        <w:t xml:space="preserve">　　</w:t>
      </w:r>
      <w:r w:rsidRPr="00CC1852">
        <w:rPr>
          <w:rFonts w:ascii="黑体" w:eastAsia="黑体" w:hAnsi="黑体" w:cs="仿宋" w:hint="eastAsia"/>
          <w:color w:val="000000"/>
          <w:kern w:val="0"/>
          <w:sz w:val="24"/>
          <w:szCs w:val="24"/>
        </w:rPr>
        <w:t>第二十九条</w:t>
      </w:r>
      <w:r w:rsidRPr="005F538E">
        <w:rPr>
          <w:rFonts w:ascii="宋体" w:cs="仿宋" w:hint="eastAsia"/>
          <w:color w:val="000000"/>
          <w:kern w:val="0"/>
          <w:sz w:val="24"/>
          <w:szCs w:val="24"/>
        </w:rPr>
        <w:t xml:space="preserve"> 本办法自发布之日起实施。</w:t>
      </w:r>
    </w:p>
    <w:p w:rsidR="00276831" w:rsidRPr="00920A5F" w:rsidRDefault="00276831" w:rsidP="00920A5F"/>
    <w:sectPr w:rsidR="00276831" w:rsidRPr="00920A5F" w:rsidSect="006444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D43" w:rsidRDefault="00C80D43" w:rsidP="00CE3049">
      <w:r>
        <w:separator/>
      </w:r>
    </w:p>
  </w:endnote>
  <w:endnote w:type="continuationSeparator" w:id="1">
    <w:p w:rsidR="00C80D43" w:rsidRDefault="00C80D43" w:rsidP="00CE30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D43" w:rsidRDefault="00C80D43" w:rsidP="00CE3049">
      <w:r>
        <w:separator/>
      </w:r>
    </w:p>
  </w:footnote>
  <w:footnote w:type="continuationSeparator" w:id="1">
    <w:p w:rsidR="00C80D43" w:rsidRDefault="00C80D43" w:rsidP="00CE30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049"/>
    <w:rsid w:val="00276831"/>
    <w:rsid w:val="006444B8"/>
    <w:rsid w:val="00920A5F"/>
    <w:rsid w:val="00C80D43"/>
    <w:rsid w:val="00CE3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49"/>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0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3049"/>
    <w:rPr>
      <w:sz w:val="18"/>
      <w:szCs w:val="18"/>
    </w:rPr>
  </w:style>
  <w:style w:type="paragraph" w:styleId="a4">
    <w:name w:val="footer"/>
    <w:basedOn w:val="a"/>
    <w:link w:val="Char0"/>
    <w:uiPriority w:val="99"/>
    <w:semiHidden/>
    <w:unhideWhenUsed/>
    <w:rsid w:val="00CE30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30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662</Words>
  <Characters>3777</Characters>
  <Application>Microsoft Office Word</Application>
  <DocSecurity>0</DocSecurity>
  <Lines>31</Lines>
  <Paragraphs>8</Paragraphs>
  <ScaleCrop>false</ScaleCrop>
  <Company>Microsoft</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2017-02-24T06:53:00Z</dcterms:created>
  <dcterms:modified xsi:type="dcterms:W3CDTF">2017-02-24T07:03:00Z</dcterms:modified>
</cp:coreProperties>
</file>